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D23A91">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D23A91">
        <w:rPr>
          <w:rFonts w:ascii="Times New Roman" w:hAnsi="Times New Roman"/>
          <w:sz w:val="24"/>
        </w:rPr>
        <w:t>06458</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F25839">
        <w:rPr>
          <w:rFonts w:ascii="Arial" w:hAnsi="Arial" w:cs="Arial"/>
          <w:sz w:val="24"/>
          <w:lang w:val="en-US" w:eastAsia="zh-CN"/>
        </w:rPr>
        <w:t>Considerations on RAN4 requirements</w:t>
      </w:r>
      <w:r w:rsidR="0084532A">
        <w:rPr>
          <w:rFonts w:ascii="Arial" w:hAnsi="Arial" w:cs="Arial"/>
          <w:sz w:val="24"/>
          <w:lang w:val="en-US" w:eastAsia="zh-CN"/>
        </w:rPr>
        <w:t xml:space="preserve"> for NR mobility enhancement</w:t>
      </w:r>
    </w:p>
    <w:p w:rsidR="005813AA" w:rsidRPr="007535E3" w:rsidRDefault="005813AA" w:rsidP="00672856">
      <w:pPr>
        <w:jc w:val="both"/>
        <w:rPr>
          <w:rFonts w:ascii="Arial"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3609C">
        <w:rPr>
          <w:rFonts w:ascii="Arial" w:hAnsi="Arial" w:cs="Arial"/>
          <w:sz w:val="24"/>
          <w:lang w:val="en-US" w:eastAsia="zh-CN"/>
        </w:rPr>
        <w:t>8.3.2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887A92">
        <w:rPr>
          <w:rFonts w:ascii="Arial" w:hAnsi="Arial" w:cs="Arial"/>
          <w:sz w:val="24"/>
          <w:lang w:val="en-US" w:eastAsia="zh-CN"/>
        </w:rPr>
        <w:t>Approval</w:t>
      </w:r>
    </w:p>
    <w:p w:rsidR="00E948E9" w:rsidRDefault="005813AA" w:rsidP="002E5998">
      <w:pPr>
        <w:pStyle w:val="Heading1"/>
      </w:pPr>
      <w:r w:rsidRPr="00DA6BF8">
        <w:t>Introduction</w:t>
      </w:r>
    </w:p>
    <w:p w:rsidR="00F25839" w:rsidRPr="00F25839" w:rsidRDefault="002D682E" w:rsidP="00F25839">
      <w:r>
        <w:t>In this contribution we consider RAN4 requirements for NR mobility enhancements.</w:t>
      </w:r>
    </w:p>
    <w:p w:rsidR="0084532A" w:rsidRPr="0084532A" w:rsidRDefault="005813AA" w:rsidP="0084532A">
      <w:pPr>
        <w:pStyle w:val="Heading1"/>
        <w:jc w:val="both"/>
        <w:rPr>
          <w:rFonts w:eastAsia="SimSun"/>
          <w:lang w:val="en-US" w:eastAsia="zh-CN"/>
        </w:rPr>
      </w:pPr>
      <w:r>
        <w:rPr>
          <w:rFonts w:eastAsia="SimSun"/>
          <w:lang w:val="en-US" w:eastAsia="zh-CN"/>
        </w:rPr>
        <w:t>Discussion</w:t>
      </w:r>
    </w:p>
    <w:p w:rsidR="00672856" w:rsidRDefault="00F25839" w:rsidP="00672856">
      <w:pPr>
        <w:pStyle w:val="Heading2"/>
        <w:rPr>
          <w:lang w:val="en-US" w:eastAsia="zh-CN"/>
        </w:rPr>
      </w:pPr>
      <w:r>
        <w:rPr>
          <w:lang w:val="en-US" w:eastAsia="zh-CN"/>
        </w:rPr>
        <w:t>DC enhancement based solutions to reduce interruption time</w:t>
      </w:r>
    </w:p>
    <w:p w:rsidR="00F25839" w:rsidRPr="00F25839" w:rsidRDefault="00F25839" w:rsidP="00F25839">
      <w:pPr>
        <w:rPr>
          <w:lang w:val="en-US" w:eastAsia="zh-CN"/>
        </w:rPr>
      </w:pPr>
      <w:r>
        <w:rPr>
          <w:lang w:val="en-US" w:eastAsia="zh-CN"/>
        </w:rPr>
        <w:t>The agreements from RAN2#105bis are</w:t>
      </w:r>
    </w:p>
    <w:p w:rsidR="00F25839" w:rsidRPr="007644CE" w:rsidRDefault="00F25839" w:rsidP="00F25839">
      <w:pPr>
        <w:pStyle w:val="Doc-text2"/>
        <w:pBdr>
          <w:top w:val="single" w:sz="4" w:space="1" w:color="auto"/>
          <w:left w:val="single" w:sz="4" w:space="4" w:color="auto"/>
          <w:bottom w:val="single" w:sz="4" w:space="1" w:color="auto"/>
          <w:right w:val="single" w:sz="4" w:space="4" w:color="auto"/>
        </w:pBdr>
      </w:pPr>
      <w:r w:rsidRPr="007644CE">
        <w:t>Agreements</w:t>
      </w:r>
    </w:p>
    <w:p w:rsidR="00F25839" w:rsidRPr="007644CE" w:rsidRDefault="00F25839" w:rsidP="00F25839">
      <w:pPr>
        <w:pStyle w:val="Doc-text2"/>
        <w:pBdr>
          <w:top w:val="single" w:sz="4" w:space="1" w:color="auto"/>
          <w:left w:val="single" w:sz="4" w:space="4" w:color="auto"/>
          <w:bottom w:val="single" w:sz="4" w:space="1" w:color="auto"/>
          <w:right w:val="single" w:sz="4" w:space="4" w:color="auto"/>
        </w:pBdr>
      </w:pPr>
      <w:r w:rsidRPr="007644CE">
        <w:t>1</w:t>
      </w:r>
      <w:r w:rsidRPr="007644CE">
        <w:tab/>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rsidR="00F25839" w:rsidRPr="007644CE" w:rsidRDefault="00F25839" w:rsidP="00F25839">
      <w:pPr>
        <w:pStyle w:val="Doc-text2"/>
        <w:pBdr>
          <w:top w:val="single" w:sz="4" w:space="1" w:color="auto"/>
          <w:left w:val="single" w:sz="4" w:space="4" w:color="auto"/>
          <w:bottom w:val="single" w:sz="4" w:space="1" w:color="auto"/>
          <w:right w:val="single" w:sz="4" w:space="4" w:color="auto"/>
        </w:pBdr>
      </w:pPr>
      <w:r w:rsidRPr="007644CE">
        <w:t>2</w:t>
      </w:r>
      <w:r w:rsidRPr="007644CE">
        <w:tab/>
        <w:t>We will identify the key aspects of the solutions that are common and that are different. The aspects that are different can then be considered in the decision process.</w:t>
      </w:r>
    </w:p>
    <w:p w:rsidR="00F25839" w:rsidRPr="007644CE" w:rsidRDefault="00F25839" w:rsidP="00F25839">
      <w:pPr>
        <w:pStyle w:val="Doc-text2"/>
        <w:pBdr>
          <w:top w:val="single" w:sz="4" w:space="1" w:color="auto"/>
          <w:left w:val="single" w:sz="4" w:space="4" w:color="auto"/>
          <w:bottom w:val="single" w:sz="4" w:space="1" w:color="auto"/>
          <w:right w:val="single" w:sz="4" w:space="4" w:color="auto"/>
        </w:pBdr>
      </w:pPr>
      <w:r w:rsidRPr="007644CE">
        <w:t>3</w:t>
      </w:r>
      <w:r w:rsidRPr="007644CE">
        <w:tab/>
        <w:t>We will define an interruption time definition that we can use in our evaluation of different solutions (starting point is to use one of the definitions that is already available in 3GPP, e.g. 38.913, RAN4, etc).</w:t>
      </w:r>
    </w:p>
    <w:p w:rsidR="006B6666" w:rsidRDefault="006B6666" w:rsidP="006B6666">
      <w:pPr>
        <w:rPr>
          <w:b/>
          <w:lang w:val="en-US" w:eastAsia="zh-CN"/>
        </w:rPr>
      </w:pPr>
    </w:p>
    <w:p w:rsidR="00F25839" w:rsidRDefault="00F25839" w:rsidP="006B6666">
      <w:pPr>
        <w:rPr>
          <w:lang w:val="en-US" w:eastAsia="zh-CN"/>
        </w:rPr>
      </w:pPr>
      <w:r>
        <w:rPr>
          <w:lang w:val="en-US" w:eastAsia="zh-CN"/>
        </w:rPr>
        <w:t>From this, it can be seen that the main aspect of relevance is that RAN2 will only address cases where both source and target cell is within FR1. Otherwise there are no decisions on whether to support different scenarios such as synchronous/asyncrounous source and target cell, intrafrequency/interfrequency/interband scenarios and so on.</w:t>
      </w:r>
    </w:p>
    <w:p w:rsidR="00F25839" w:rsidRDefault="00F25839" w:rsidP="006B6666">
      <w:pPr>
        <w:rPr>
          <w:b/>
          <w:lang w:val="en-US" w:eastAsia="zh-CN"/>
        </w:rPr>
      </w:pPr>
      <w:r>
        <w:rPr>
          <w:b/>
          <w:lang w:val="en-US" w:eastAsia="zh-CN"/>
        </w:rPr>
        <w:t>Observation 1: RAN2 will address FR1-FR1 handover with DC-enhancement based solutions</w:t>
      </w:r>
    </w:p>
    <w:p w:rsidR="00F25839" w:rsidRDefault="00F25839" w:rsidP="006B6666">
      <w:pPr>
        <w:rPr>
          <w:b/>
          <w:lang w:val="en-US" w:eastAsia="zh-CN"/>
        </w:rPr>
      </w:pPr>
      <w:r>
        <w:rPr>
          <w:b/>
          <w:lang w:val="en-US" w:eastAsia="zh-CN"/>
        </w:rPr>
        <w:t xml:space="preserve">Observation 2: Within FR1 it is not decided which </w:t>
      </w:r>
      <w:r w:rsidR="00530EEA">
        <w:rPr>
          <w:b/>
          <w:lang w:val="en-US" w:eastAsia="zh-CN"/>
        </w:rPr>
        <w:t xml:space="preserve">use </w:t>
      </w:r>
      <w:r>
        <w:rPr>
          <w:b/>
          <w:lang w:val="en-US" w:eastAsia="zh-CN"/>
        </w:rPr>
        <w:t>cases will be addressed</w:t>
      </w:r>
    </w:p>
    <w:p w:rsidR="00F25839" w:rsidRDefault="00F25839" w:rsidP="006B6666">
      <w:pPr>
        <w:rPr>
          <w:lang w:val="en-US" w:eastAsia="zh-CN"/>
        </w:rPr>
      </w:pPr>
      <w:r w:rsidRPr="00F25839">
        <w:rPr>
          <w:lang w:val="en-US" w:eastAsia="zh-CN"/>
        </w:rPr>
        <w:t xml:space="preserve">From  </w:t>
      </w:r>
      <w:r w:rsidR="00530EEA">
        <w:rPr>
          <w:lang w:val="en-US" w:eastAsia="zh-CN"/>
        </w:rPr>
        <w:t>RAN4 perspective, the main aspect to address is the HO interruption requirements. Since the use cases are still to be decided, we make the following initial proposals</w:t>
      </w:r>
    </w:p>
    <w:p w:rsidR="004651CD" w:rsidRPr="002F2D7B" w:rsidRDefault="004651CD" w:rsidP="004651CD">
      <w:pPr>
        <w:rPr>
          <w:b/>
        </w:rPr>
      </w:pPr>
      <w:r w:rsidRPr="002F2D7B">
        <w:rPr>
          <w:b/>
        </w:rPr>
        <w:t xml:space="preserve">Preliminary proposal </w:t>
      </w:r>
      <w:r>
        <w:rPr>
          <w:b/>
        </w:rPr>
        <w:t>1</w:t>
      </w:r>
      <w:r w:rsidRPr="002F2D7B">
        <w:rPr>
          <w:b/>
        </w:rPr>
        <w:t xml:space="preserve"> : 0ms interruption applies for an intrafrequency handover where the target cell has the same or smaller BW than the source cell</w:t>
      </w:r>
    </w:p>
    <w:p w:rsidR="004651CD" w:rsidRDefault="004651CD" w:rsidP="004651CD">
      <w:pPr>
        <w:rPr>
          <w:b/>
        </w:rPr>
      </w:pPr>
      <w:r w:rsidRPr="002F2D7B">
        <w:rPr>
          <w:b/>
        </w:rPr>
        <w:t xml:space="preserve">Preliminary proposal </w:t>
      </w:r>
      <w:r>
        <w:rPr>
          <w:b/>
        </w:rPr>
        <w:t>2</w:t>
      </w:r>
      <w:r w:rsidRPr="002F2D7B">
        <w:rPr>
          <w:b/>
        </w:rPr>
        <w:t xml:space="preserve">: </w:t>
      </w:r>
      <w:r>
        <w:rPr>
          <w:b/>
        </w:rPr>
        <w:t>Interruption for synchronous intraband handover where the target cell has larger bandwidth than the source cell can be based on intraband CA interruption requirements.</w:t>
      </w:r>
      <w:r w:rsidRPr="004651CD">
        <w:rPr>
          <w:b/>
        </w:rPr>
        <w:t xml:space="preserve"> </w:t>
      </w:r>
      <w:r>
        <w:rPr>
          <w:b/>
        </w:rPr>
        <w:t>F</w:t>
      </w:r>
      <w:r w:rsidRPr="00DD66F3">
        <w:rPr>
          <w:b/>
        </w:rPr>
        <w:t xml:space="preserve">or the async case one additional </w:t>
      </w:r>
      <w:r>
        <w:rPr>
          <w:b/>
        </w:rPr>
        <w:t>slot</w:t>
      </w:r>
      <w:r w:rsidRPr="00DD66F3">
        <w:rPr>
          <w:b/>
        </w:rPr>
        <w:t xml:space="preserve"> can be applied on either the source cell or the target cell</w:t>
      </w:r>
    </w:p>
    <w:p w:rsidR="004651CD" w:rsidRDefault="004651CD" w:rsidP="004651C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651CD" w:rsidTr="004651C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4651CD" w:rsidRDefault="00F10440">
            <w:pPr>
              <w:keepNext/>
              <w:keepLines/>
              <w:spacing w:after="0"/>
              <w:jc w:val="center"/>
            </w:pPr>
            <w:r>
              <w:rPr>
                <w:rFonts w:ascii="Arial" w:hAnsi="Arial"/>
                <w:b/>
                <w:noProof/>
                <w:sz w:val="1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10.5pt;height:12.75pt;visibility:visible;mso-wrap-style:square">
                  <v:imagedata r:id="rId13" o:title=""/>
                </v:shape>
              </w:pict>
            </w:r>
          </w:p>
        </w:tc>
        <w:tc>
          <w:tcPr>
            <w:tcW w:w="992" w:type="dxa"/>
            <w:tcBorders>
              <w:top w:val="single" w:sz="4" w:space="0" w:color="auto"/>
              <w:left w:val="single" w:sz="4" w:space="0" w:color="auto"/>
              <w:bottom w:val="single" w:sz="4" w:space="0" w:color="auto"/>
              <w:right w:val="single" w:sz="4" w:space="0" w:color="auto"/>
            </w:tcBorders>
            <w:hideMark/>
          </w:tcPr>
          <w:p w:rsidR="004651CD" w:rsidRDefault="004651CD">
            <w:pPr>
              <w:keepNext/>
              <w:keepLines/>
              <w:spacing w:after="0"/>
              <w:jc w:val="center"/>
            </w:pPr>
            <w:r>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4651CD" w:rsidRDefault="004651CD">
            <w:pPr>
              <w:keepNext/>
              <w:keepLines/>
              <w:spacing w:after="0"/>
              <w:jc w:val="center"/>
            </w:pPr>
            <w:r>
              <w:rPr>
                <w:rFonts w:ascii="Arial" w:hAnsi="Arial"/>
                <w:b/>
                <w:sz w:val="18"/>
              </w:rPr>
              <w:t>Interruption length (slot)</w:t>
            </w:r>
          </w:p>
        </w:tc>
      </w:tr>
      <w:tr w:rsidR="004651CD" w:rsidTr="004651CD">
        <w:trPr>
          <w:jc w:val="center"/>
        </w:trPr>
        <w:tc>
          <w:tcPr>
            <w:tcW w:w="649"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1</w:t>
            </w:r>
          </w:p>
        </w:tc>
        <w:tc>
          <w:tcPr>
            <w:tcW w:w="2890" w:type="dxa"/>
            <w:tcBorders>
              <w:top w:val="single" w:sz="4" w:space="0" w:color="auto"/>
              <w:left w:val="single" w:sz="4" w:space="0" w:color="auto"/>
              <w:bottom w:val="single" w:sz="4" w:space="0" w:color="auto"/>
              <w:right w:val="single" w:sz="4" w:space="0" w:color="auto"/>
            </w:tcBorders>
            <w:hideMark/>
          </w:tcPr>
          <w:p w:rsidR="004651CD" w:rsidRDefault="004651CD">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p>
        </w:tc>
      </w:tr>
      <w:tr w:rsidR="004651CD" w:rsidTr="004651CD">
        <w:trPr>
          <w:jc w:val="center"/>
        </w:trPr>
        <w:tc>
          <w:tcPr>
            <w:tcW w:w="649"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0.5</w:t>
            </w:r>
          </w:p>
        </w:tc>
        <w:tc>
          <w:tcPr>
            <w:tcW w:w="2890" w:type="dxa"/>
            <w:tcBorders>
              <w:top w:val="single" w:sz="4" w:space="0" w:color="auto"/>
              <w:left w:val="single" w:sz="4" w:space="0" w:color="auto"/>
              <w:bottom w:val="single" w:sz="4" w:space="0" w:color="auto"/>
              <w:right w:val="single" w:sz="4" w:space="0" w:color="auto"/>
            </w:tcBorders>
            <w:hideMark/>
          </w:tcPr>
          <w:p w:rsidR="004651CD" w:rsidRDefault="004651CD">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p>
        </w:tc>
      </w:tr>
      <w:tr w:rsidR="004651CD" w:rsidTr="004651C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4651CD" w:rsidRDefault="004651CD">
            <w:pPr>
              <w:pStyle w:val="TAN"/>
              <w:rPr>
                <w:lang w:eastAsia="zh-CN"/>
              </w:rPr>
            </w:pPr>
            <w:r>
              <w:t xml:space="preserve">Note: </w:t>
            </w:r>
            <w:r>
              <w:tab/>
            </w:r>
            <w:r>
              <w:rPr>
                <w:lang w:eastAsia="zh-CN"/>
              </w:rPr>
              <w:t>T</w:t>
            </w:r>
            <w:r>
              <w:rPr>
                <w:vertAlign w:val="subscript"/>
                <w:lang w:eastAsia="zh-CN"/>
              </w:rPr>
              <w:t>SMTC_duration</w:t>
            </w:r>
            <w:r>
              <w:rPr>
                <w:lang w:eastAsia="zh-CN"/>
              </w:rPr>
              <w:t xml:space="preserve"> is</w:t>
            </w:r>
          </w:p>
          <w:p w:rsidR="004651CD" w:rsidRDefault="004651CD" w:rsidP="004651CD">
            <w:pPr>
              <w:pStyle w:val="TAN"/>
            </w:pPr>
            <w:r>
              <w:tab/>
              <w:t xml:space="preserve">- the longest SMTC duration </w:t>
            </w:r>
            <w:r>
              <w:rPr>
                <w:lang w:eastAsia="zh-CN"/>
              </w:rPr>
              <w:t>among the source and target cell</w:t>
            </w:r>
            <w:r>
              <w:t xml:space="preserve">  </w:t>
            </w:r>
          </w:p>
        </w:tc>
      </w:tr>
    </w:tbl>
    <w:p w:rsidR="004651CD" w:rsidRPr="004651CD" w:rsidRDefault="004651CD" w:rsidP="004651CD">
      <w:pPr>
        <w:ind w:firstLine="132"/>
        <w:jc w:val="center"/>
        <w:rPr>
          <w:b/>
        </w:rPr>
      </w:pPr>
      <w:r w:rsidRPr="004651CD">
        <w:rPr>
          <w:b/>
        </w:rPr>
        <w:t>Table 1 : Interruption durations for preliminary proposal 2</w:t>
      </w:r>
    </w:p>
    <w:p w:rsidR="004651CD" w:rsidRDefault="004651CD" w:rsidP="004651CD">
      <w:pPr>
        <w:rPr>
          <w:b/>
        </w:rPr>
      </w:pPr>
      <w:r w:rsidRPr="002F2D7B">
        <w:rPr>
          <w:b/>
        </w:rPr>
        <w:lastRenderedPageBreak/>
        <w:t xml:space="preserve">Preliminary proposal </w:t>
      </w:r>
      <w:r>
        <w:rPr>
          <w:b/>
        </w:rPr>
        <w:t>3</w:t>
      </w:r>
      <w:r w:rsidRPr="002F2D7B">
        <w:rPr>
          <w:b/>
        </w:rPr>
        <w:t xml:space="preserve"> : </w:t>
      </w:r>
      <w:r>
        <w:rPr>
          <w:b/>
        </w:rPr>
        <w:t>1</w:t>
      </w:r>
      <w:r w:rsidRPr="002F2D7B">
        <w:rPr>
          <w:b/>
        </w:rPr>
        <w:t>ms interruption applies for an int</w:t>
      </w:r>
      <w:r>
        <w:rPr>
          <w:b/>
        </w:rPr>
        <w:t>erband</w:t>
      </w:r>
      <w:r w:rsidRPr="002F2D7B">
        <w:rPr>
          <w:b/>
        </w:rPr>
        <w:t xml:space="preserve"> </w:t>
      </w:r>
      <w:r>
        <w:rPr>
          <w:b/>
        </w:rPr>
        <w:t xml:space="preserve">synchronous </w:t>
      </w:r>
      <w:r w:rsidRPr="002F2D7B">
        <w:rPr>
          <w:b/>
        </w:rPr>
        <w:t>handover</w:t>
      </w:r>
      <w:r>
        <w:rPr>
          <w:b/>
        </w:rPr>
        <w:t>. F</w:t>
      </w:r>
      <w:r w:rsidRPr="00DD66F3">
        <w:rPr>
          <w:b/>
        </w:rPr>
        <w:t>or the async case one additional subframe can be applied on either the source cell or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4651CD" w:rsidTr="004651C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4651CD" w:rsidRDefault="00F10440">
            <w:pPr>
              <w:keepNext/>
              <w:keepLines/>
              <w:spacing w:after="0"/>
              <w:jc w:val="center"/>
            </w:pPr>
            <w:r>
              <w:rPr>
                <w:rFonts w:ascii="Arial" w:hAnsi="Arial"/>
                <w:b/>
                <w:noProof/>
                <w:sz w:val="18"/>
                <w:lang w:val="en-US" w:eastAsia="zh-CN"/>
              </w:rPr>
              <w:pict>
                <v:shape id="图片 14" o:spid="_x0000_i1026" type="#_x0000_t75" style="width:10.5pt;height:12.75pt;visibility:visible;mso-wrap-style:square">
                  <v:imagedata r:id="rId13" o:title=""/>
                </v:shape>
              </w:pict>
            </w:r>
          </w:p>
        </w:tc>
        <w:tc>
          <w:tcPr>
            <w:tcW w:w="1361" w:type="dxa"/>
            <w:tcBorders>
              <w:top w:val="single" w:sz="4" w:space="0" w:color="auto"/>
              <w:left w:val="single" w:sz="4" w:space="0" w:color="auto"/>
              <w:bottom w:val="single" w:sz="4" w:space="0" w:color="auto"/>
              <w:right w:val="single" w:sz="4" w:space="0" w:color="auto"/>
            </w:tcBorders>
            <w:hideMark/>
          </w:tcPr>
          <w:p w:rsidR="004651CD" w:rsidRDefault="004651CD">
            <w:pPr>
              <w:keepNext/>
              <w:keepLines/>
              <w:spacing w:after="0"/>
              <w:jc w:val="center"/>
            </w:pPr>
            <w:r>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4651CD" w:rsidRDefault="004651CD">
            <w:pPr>
              <w:keepNext/>
              <w:keepLines/>
              <w:spacing w:after="0"/>
              <w:jc w:val="center"/>
            </w:pPr>
            <w:r>
              <w:rPr>
                <w:rFonts w:ascii="Arial" w:hAnsi="Arial"/>
                <w:b/>
                <w:sz w:val="18"/>
              </w:rPr>
              <w:t>Interruption length (slot)</w:t>
            </w:r>
          </w:p>
        </w:tc>
      </w:tr>
      <w:tr w:rsidR="004651CD" w:rsidTr="004651CD">
        <w:trPr>
          <w:jc w:val="center"/>
        </w:trPr>
        <w:tc>
          <w:tcPr>
            <w:tcW w:w="649"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0</w:t>
            </w:r>
          </w:p>
        </w:tc>
        <w:tc>
          <w:tcPr>
            <w:tcW w:w="1361"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1</w:t>
            </w:r>
          </w:p>
        </w:tc>
        <w:tc>
          <w:tcPr>
            <w:tcW w:w="2521" w:type="dxa"/>
            <w:tcBorders>
              <w:top w:val="single" w:sz="4" w:space="0" w:color="auto"/>
              <w:left w:val="single" w:sz="4" w:space="0" w:color="auto"/>
              <w:bottom w:val="single" w:sz="4" w:space="0" w:color="auto"/>
              <w:right w:val="single" w:sz="4" w:space="0" w:color="auto"/>
            </w:tcBorders>
          </w:tcPr>
          <w:p w:rsidR="004651CD" w:rsidRDefault="004651CD">
            <w:pPr>
              <w:pStyle w:val="TAC"/>
              <w:rPr>
                <w:rFonts w:cs="Arial"/>
                <w:szCs w:val="18"/>
              </w:rPr>
            </w:pPr>
          </w:p>
        </w:tc>
        <w:tc>
          <w:tcPr>
            <w:tcW w:w="2890" w:type="dxa"/>
            <w:tcBorders>
              <w:top w:val="single" w:sz="4" w:space="0" w:color="auto"/>
              <w:left w:val="single" w:sz="4" w:space="0" w:color="auto"/>
              <w:bottom w:val="single" w:sz="4" w:space="0" w:color="auto"/>
              <w:right w:val="single" w:sz="4" w:space="0" w:color="auto"/>
            </w:tcBorders>
            <w:hideMark/>
          </w:tcPr>
          <w:p w:rsidR="004651CD" w:rsidRDefault="004651CD">
            <w:pPr>
              <w:pStyle w:val="TAC"/>
              <w:rPr>
                <w:rFonts w:cs="Arial"/>
                <w:szCs w:val="18"/>
              </w:rPr>
            </w:pPr>
            <w:r>
              <w:rPr>
                <w:rFonts w:cs="Arial"/>
                <w:szCs w:val="18"/>
              </w:rPr>
              <w:t xml:space="preserve">1 </w:t>
            </w:r>
          </w:p>
        </w:tc>
      </w:tr>
      <w:tr w:rsidR="004651CD" w:rsidTr="004651CD">
        <w:trPr>
          <w:jc w:val="center"/>
        </w:trPr>
        <w:tc>
          <w:tcPr>
            <w:tcW w:w="649"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1</w:t>
            </w:r>
          </w:p>
        </w:tc>
        <w:tc>
          <w:tcPr>
            <w:tcW w:w="1361" w:type="dxa"/>
            <w:tcBorders>
              <w:top w:val="single" w:sz="4" w:space="0" w:color="auto"/>
              <w:left w:val="single" w:sz="4" w:space="0" w:color="auto"/>
              <w:bottom w:val="single" w:sz="4" w:space="0" w:color="auto"/>
              <w:right w:val="single" w:sz="4" w:space="0" w:color="auto"/>
            </w:tcBorders>
            <w:hideMark/>
          </w:tcPr>
          <w:p w:rsidR="004651CD" w:rsidRDefault="004651CD">
            <w:pPr>
              <w:pStyle w:val="TAC"/>
            </w:pPr>
            <w:r>
              <w:t>0.5</w:t>
            </w:r>
          </w:p>
        </w:tc>
        <w:tc>
          <w:tcPr>
            <w:tcW w:w="2521" w:type="dxa"/>
            <w:tcBorders>
              <w:top w:val="single" w:sz="4" w:space="0" w:color="auto"/>
              <w:left w:val="single" w:sz="4" w:space="0" w:color="auto"/>
              <w:bottom w:val="single" w:sz="4" w:space="0" w:color="auto"/>
              <w:right w:val="single" w:sz="4" w:space="0" w:color="auto"/>
            </w:tcBorders>
          </w:tcPr>
          <w:p w:rsidR="004651CD" w:rsidRDefault="004651CD">
            <w:pPr>
              <w:pStyle w:val="TAC"/>
              <w:rPr>
                <w:rFonts w:cs="Arial"/>
                <w:szCs w:val="18"/>
              </w:rPr>
            </w:pPr>
          </w:p>
        </w:tc>
        <w:tc>
          <w:tcPr>
            <w:tcW w:w="2890" w:type="dxa"/>
            <w:tcBorders>
              <w:top w:val="single" w:sz="4" w:space="0" w:color="auto"/>
              <w:left w:val="single" w:sz="4" w:space="0" w:color="auto"/>
              <w:bottom w:val="single" w:sz="4" w:space="0" w:color="auto"/>
              <w:right w:val="single" w:sz="4" w:space="0" w:color="auto"/>
            </w:tcBorders>
            <w:hideMark/>
          </w:tcPr>
          <w:p w:rsidR="004651CD" w:rsidRDefault="004651CD">
            <w:pPr>
              <w:pStyle w:val="TAC"/>
              <w:rPr>
                <w:rFonts w:cs="Arial"/>
                <w:szCs w:val="18"/>
              </w:rPr>
            </w:pPr>
            <w:r>
              <w:rPr>
                <w:rFonts w:cs="Arial"/>
                <w:szCs w:val="18"/>
              </w:rPr>
              <w:t xml:space="preserve">1 </w:t>
            </w:r>
          </w:p>
        </w:tc>
      </w:tr>
    </w:tbl>
    <w:p w:rsidR="004651CD" w:rsidRPr="004651CD" w:rsidRDefault="004651CD" w:rsidP="004651CD">
      <w:pPr>
        <w:ind w:firstLine="132"/>
        <w:jc w:val="center"/>
        <w:rPr>
          <w:b/>
        </w:rPr>
      </w:pPr>
      <w:r w:rsidRPr="004651CD">
        <w:rPr>
          <w:b/>
        </w:rPr>
        <w:t xml:space="preserve">Table </w:t>
      </w:r>
      <w:r>
        <w:rPr>
          <w:b/>
        </w:rPr>
        <w:t>2</w:t>
      </w:r>
      <w:r w:rsidRPr="004651CD">
        <w:rPr>
          <w:b/>
        </w:rPr>
        <w:t xml:space="preserve"> : Interruption durations for preliminary proposal 2</w:t>
      </w:r>
    </w:p>
    <w:p w:rsidR="004651CD" w:rsidRDefault="004651CD" w:rsidP="004651CD">
      <w:r w:rsidRPr="00DD66F3">
        <w:t>For int</w:t>
      </w:r>
      <w:r>
        <w:t>ra</w:t>
      </w:r>
      <w:r w:rsidRPr="00DD66F3">
        <w:t>band</w:t>
      </w:r>
      <w:r>
        <w:t xml:space="preserve"> interfrequency case it is assumed is that solutions will still be based on 2 RF chains, so proposal 3 can be reused. This may need further discussion if there is interfrequency handover to an adjacent frequency where a single RF chain could be considered, but we think it would be better to await a clearer understanding of the cases RAN2 intends to specify before analysing the requirements for this case in too much detail.</w:t>
      </w:r>
    </w:p>
    <w:p w:rsidR="004651CD" w:rsidRDefault="004651CD" w:rsidP="004651CD">
      <w:pPr>
        <w:rPr>
          <w:b/>
        </w:rPr>
      </w:pPr>
    </w:p>
    <w:p w:rsidR="004651CD" w:rsidRDefault="004651CD" w:rsidP="004651CD">
      <w:pPr>
        <w:pStyle w:val="Heading2"/>
        <w:rPr>
          <w:lang w:val="en-US" w:eastAsia="zh-CN"/>
        </w:rPr>
      </w:pPr>
      <w:r>
        <w:rPr>
          <w:lang w:val="en-US" w:eastAsia="zh-CN"/>
        </w:rPr>
        <w:t>Conditional handover</w:t>
      </w:r>
    </w:p>
    <w:p w:rsidR="004651CD" w:rsidRDefault="004651CD" w:rsidP="004651CD">
      <w:pPr>
        <w:rPr>
          <w:b/>
        </w:rP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Agreements</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0:</w:t>
      </w:r>
      <w:r w:rsidRPr="007644CE">
        <w:tab/>
        <w:t>CHO is introduced in NR to solve robustness/reliability issue.</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 xml:space="preserve">1:The LTE agreements below are applicable for NR: </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b/ Usage of conditional handover is decided by network. UE evaluates when the condition is valid.</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c/ Support configuration of one or more candidate cells for conditional handover;</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=&gt;</w:t>
      </w:r>
      <w:r w:rsidRPr="007644CE">
        <w:tab/>
        <w:t>FFS how many candidate cells (UE and network impacts should be clarified).</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=&gt;</w:t>
      </w:r>
      <w:r w:rsidRPr="007644CE">
        <w:tab/>
        <w:t>FFS how to include the CHO conditions in UE configuration</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2</w:t>
      </w:r>
      <w:r w:rsidRPr="007644CE">
        <w:tab/>
        <w:t>Cell level quality is used as baseline for CHO execution condition;</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FFS: on whether beam quality is used as input for CHO execution condition.</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 RS type SSB can be used</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FFS: CSI-RS, use of more than one RS type</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4</w:t>
      </w:r>
      <w:r w:rsidRPr="007644CE">
        <w:tab/>
        <w:t>Ax events (entry condition) are used for CHO execution condition and A3/5 as baseline</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FFS: on other events</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5</w:t>
      </w:r>
      <w:r w:rsidRPr="007644CE">
        <w:tab/>
        <w:t xml:space="preserve">Trigger quantity for CHO execution condition(RSRP, RSRQ or RS-SINR) is configured by network. </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FFS: on multiple quantities.</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r w:rsidRPr="007644CE">
        <w:t>FFS: Enhancements to the above CHO framework to specifically address usage in FR2 (e.g. address high number of handovers, RLFs, etc)</w:t>
      </w:r>
    </w:p>
    <w:p w:rsidR="004651CD" w:rsidRPr="007644CE" w:rsidRDefault="004651CD" w:rsidP="004651CD">
      <w:pPr>
        <w:pStyle w:val="Doc-text2"/>
        <w:pBdr>
          <w:top w:val="single" w:sz="4" w:space="1" w:color="auto"/>
          <w:left w:val="single" w:sz="4" w:space="4" w:color="auto"/>
          <w:bottom w:val="single" w:sz="4" w:space="1" w:color="auto"/>
          <w:right w:val="single" w:sz="4" w:space="4" w:color="auto"/>
        </w:pBdr>
      </w:pPr>
    </w:p>
    <w:p w:rsidR="004651CD" w:rsidRDefault="004651CD" w:rsidP="004651CD">
      <w:pPr>
        <w:rPr>
          <w:b/>
        </w:rPr>
      </w:pPr>
    </w:p>
    <w:p w:rsidR="006B6100" w:rsidRDefault="006B6100" w:rsidP="004651CD">
      <w:r w:rsidRPr="006B6100">
        <w:t>From</w:t>
      </w:r>
      <w:r>
        <w:t xml:space="preserve"> a high level, the main aspects of interest are that LTE CHO agreements are also applicable in NR. Cell quality is used as a baseline for the CHO execution condition and beam quality as an input is FFS; at any rate the UE physical layer needs to evaluate </w:t>
      </w:r>
      <w:r>
        <w:lastRenderedPageBreak/>
        <w:t xml:space="preserve">beam based measurements to derive cell quality so this is more of an issue on the condition to define than the measurements to be performed. </w:t>
      </w:r>
    </w:p>
    <w:p w:rsidR="006B6100" w:rsidRDefault="006B6100" w:rsidP="006B6100">
      <w:r>
        <w:t>From RAN4 perspective, the conditional handover procedure can be viewed as follows</w:t>
      </w:r>
    </w:p>
    <w:p w:rsidR="006B6100" w:rsidRDefault="006B6100" w:rsidP="006B6100">
      <w:pPr>
        <w:ind w:left="284"/>
      </w:pPr>
      <w:r>
        <w:t>Step 1: EUTRAN RRC sends a CHO command to the UE which provides configuration information and triggering conditions</w:t>
      </w:r>
    </w:p>
    <w:p w:rsidR="006B6100" w:rsidRDefault="006B6100" w:rsidP="006B6100">
      <w:pPr>
        <w:ind w:left="284"/>
      </w:pPr>
      <w:r>
        <w:t>Step 2: UE internally configures the trigger based on the CHO command</w:t>
      </w:r>
    </w:p>
    <w:p w:rsidR="006B6100" w:rsidRDefault="006B6100" w:rsidP="006B6100">
      <w:pPr>
        <w:ind w:left="284"/>
      </w:pPr>
      <w:r>
        <w:t>Step 3: UE monitors measurement results and evaluates whether any CHO trigger condition has been met</w:t>
      </w:r>
    </w:p>
    <w:p w:rsidR="006B6100" w:rsidRDefault="006B6100" w:rsidP="006B6100">
      <w:pPr>
        <w:ind w:left="284"/>
      </w:pPr>
      <w:r>
        <w:t>Step 4: For any target cell where the CHO trigger is met, the UE starts actions related to handover without further signalling from the source cell.</w:t>
      </w:r>
    </w:p>
    <w:p w:rsidR="006B6100" w:rsidRDefault="006B6100" w:rsidP="006B6100">
      <w:r>
        <w:t>Step 1 and step 2 are very similar to configuration of a measurement event in the UE, step 3 is similar to the evaluation of a measurement event, and step 4 is similar to the unconditional handover except that no RRC procedure delay would be needed, as the UE is already aware of the target cell configuration from step 1.</w:t>
      </w:r>
    </w:p>
    <w:p w:rsidR="006B6100" w:rsidRDefault="006B6100" w:rsidP="006B6100">
      <w:r>
        <w:t xml:space="preserve">Given the similarity to the LTE CHO procedure, we think the same framework can be used to define the </w:t>
      </w:r>
      <w:r w:rsidR="0013609C">
        <w:t>requirements</w:t>
      </w:r>
    </w:p>
    <w:p w:rsidR="006B6100" w:rsidRDefault="0013609C" w:rsidP="006B6100">
      <w:pPr>
        <w:rPr>
          <w:b/>
        </w:rPr>
      </w:pPr>
      <w:r>
        <w:rPr>
          <w:b/>
        </w:rPr>
        <w:t>P</w:t>
      </w:r>
      <w:r w:rsidR="006B6100">
        <w:rPr>
          <w:b/>
        </w:rPr>
        <w:t>roposal 7: Handover requirements for CHO are defined as</w:t>
      </w:r>
    </w:p>
    <w:p w:rsidR="006B6100" w:rsidRDefault="006B6100" w:rsidP="006B6100">
      <w:pPr>
        <w:rPr>
          <w:b/>
        </w:rPr>
      </w:pPr>
      <w:r>
        <w:rPr>
          <w:b/>
        </w:rPr>
        <w:t>The handover delay is the time from which a conditional handover condition is satisfied until the time when the UE starts to transmit RACH to the target cell</w:t>
      </w:r>
    </w:p>
    <w:p w:rsidR="006B6100" w:rsidRDefault="006B6100" w:rsidP="006B6100">
      <w:pPr>
        <w:jc w:val="center"/>
        <w:rPr>
          <w:b/>
          <w:vertAlign w:val="subscript"/>
        </w:rPr>
      </w:pPr>
      <w:r w:rsidRPr="00B83CD0">
        <w:rPr>
          <w:b/>
        </w:rPr>
        <w:t>D</w:t>
      </w:r>
      <w:r w:rsidRPr="00B83CD0">
        <w:rPr>
          <w:b/>
          <w:vertAlign w:val="subscript"/>
        </w:rPr>
        <w:t>handover</w:t>
      </w:r>
      <w:r w:rsidRPr="00B83CD0">
        <w:rPr>
          <w:b/>
        </w:rPr>
        <w:t xml:space="preserve">= </w:t>
      </w:r>
      <w:r>
        <w:rPr>
          <w:b/>
        </w:rPr>
        <w:t>T</w:t>
      </w:r>
      <w:r w:rsidRPr="00B83CD0">
        <w:rPr>
          <w:b/>
          <w:vertAlign w:val="subscript"/>
        </w:rPr>
        <w:t>config</w:t>
      </w:r>
      <w:r>
        <w:rPr>
          <w:b/>
        </w:rPr>
        <w:t xml:space="preserve"> +</w:t>
      </w:r>
      <w:r w:rsidRPr="00B83CD0">
        <w:rPr>
          <w:b/>
        </w:rPr>
        <w:t xml:space="preserve"> T</w:t>
      </w:r>
      <w:r>
        <w:rPr>
          <w:b/>
          <w:vertAlign w:val="subscript"/>
        </w:rPr>
        <w:t>cond_eval</w:t>
      </w:r>
      <w:r w:rsidRPr="00B83CD0">
        <w:rPr>
          <w:b/>
        </w:rPr>
        <w:t>+T</w:t>
      </w:r>
      <w:r w:rsidRPr="00B83CD0">
        <w:rPr>
          <w:b/>
          <w:vertAlign w:val="subscript"/>
        </w:rPr>
        <w:t>interrupt</w:t>
      </w:r>
    </w:p>
    <w:p w:rsidR="006B6100" w:rsidRPr="00B83CD0" w:rsidRDefault="006B6100" w:rsidP="006B6100">
      <w:pPr>
        <w:jc w:val="center"/>
        <w:rPr>
          <w:b/>
          <w:vertAlign w:val="subscript"/>
        </w:rPr>
      </w:pPr>
    </w:p>
    <w:p w:rsidR="006B6100" w:rsidRDefault="006B6100" w:rsidP="006B6100">
      <w:pPr>
        <w:rPr>
          <w:b/>
        </w:rPr>
      </w:pPr>
      <w:r>
        <w:rPr>
          <w:b/>
        </w:rPr>
        <w:t>T</w:t>
      </w:r>
      <w:r w:rsidRPr="00B83CD0">
        <w:rPr>
          <w:b/>
          <w:vertAlign w:val="subscript"/>
        </w:rPr>
        <w:t>config</w:t>
      </w:r>
      <w:r>
        <w:rPr>
          <w:b/>
        </w:rPr>
        <w:t xml:space="preserve"> is 0ms if the time from when the RRC command to configure conditional handover until the time when the conditional handover condition is satisfied &gt; RRC procedure delay, otherwise T</w:t>
      </w:r>
      <w:r w:rsidRPr="00B83CD0">
        <w:rPr>
          <w:b/>
          <w:vertAlign w:val="subscript"/>
        </w:rPr>
        <w:t>config</w:t>
      </w:r>
      <w:r w:rsidRPr="00B83CD0">
        <w:rPr>
          <w:b/>
        </w:rPr>
        <w:t xml:space="preserve"> = </w:t>
      </w:r>
      <w:r>
        <w:rPr>
          <w:b/>
        </w:rPr>
        <w:t>RRC procedure delay-</w:t>
      </w:r>
      <w:r w:rsidRPr="00B83CD0">
        <w:rPr>
          <w:b/>
        </w:rPr>
        <w:t xml:space="preserve"> </w:t>
      </w:r>
      <w:r>
        <w:rPr>
          <w:b/>
        </w:rPr>
        <w:t>(time from when the RRC command to configure conditional handover until the time when the conditional handover condition is satisfied)</w:t>
      </w:r>
    </w:p>
    <w:p w:rsidR="006B6100" w:rsidRDefault="006B6100" w:rsidP="006B6100">
      <w:pPr>
        <w:rPr>
          <w:b/>
        </w:rPr>
      </w:pPr>
      <w:r>
        <w:rPr>
          <w:b/>
        </w:rPr>
        <w:t>T</w:t>
      </w:r>
      <w:r w:rsidRPr="00B83CD0">
        <w:rPr>
          <w:b/>
          <w:vertAlign w:val="subscript"/>
        </w:rPr>
        <w:t>cond_eval</w:t>
      </w:r>
      <w:r>
        <w:rPr>
          <w:b/>
        </w:rPr>
        <w:t xml:space="preserve"> is the  L1 measurement period if the target cell has been detected by the UE prior to the handover condition being satisfied, or T</w:t>
      </w:r>
      <w:r w:rsidRPr="00B83CD0">
        <w:rPr>
          <w:b/>
          <w:vertAlign w:val="subscript"/>
        </w:rPr>
        <w:t>identify</w:t>
      </w:r>
      <w:r>
        <w:rPr>
          <w:b/>
        </w:rPr>
        <w:t xml:space="preserve"> if the handover condition is already  satisfied when the cell is first detected by the UE</w:t>
      </w:r>
    </w:p>
    <w:p w:rsidR="006B6100" w:rsidRDefault="006B6100" w:rsidP="006B6100">
      <w:pPr>
        <w:pStyle w:val="EQ"/>
      </w:pPr>
      <w:r w:rsidRPr="00B83CD0">
        <w:rPr>
          <w:b/>
        </w:rPr>
        <w:t>T</w:t>
      </w:r>
      <w:r w:rsidRPr="00B83CD0">
        <w:rPr>
          <w:b/>
          <w:vertAlign w:val="subscript"/>
        </w:rPr>
        <w:t>interrupt</w:t>
      </w:r>
      <w:r w:rsidRPr="00B83CD0">
        <w:rPr>
          <w:b/>
        </w:rPr>
        <w:t xml:space="preserve">= </w:t>
      </w:r>
      <w:r w:rsidRPr="00DD7FFC">
        <w:t>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T</w:t>
      </w:r>
      <w:r w:rsidRPr="00DD7FFC">
        <w:rPr>
          <w:vertAlign w:val="subscript"/>
          <w:lang w:eastAsia="zh-CN"/>
        </w:rPr>
        <w:t>processing</w:t>
      </w:r>
      <w:r w:rsidRPr="00DD7FFC">
        <w:rPr>
          <w:lang w:eastAsia="zh-CN"/>
        </w:rPr>
        <w:t>+ T</w:t>
      </w:r>
      <w:r w:rsidRPr="00DD7FFC">
        <w:rPr>
          <w:vertAlign w:val="subscript"/>
          <w:lang w:eastAsia="zh-CN"/>
        </w:rPr>
        <w:t>∆</w:t>
      </w:r>
      <w:r w:rsidRPr="00DD7FFC">
        <w:rPr>
          <w:lang w:eastAsia="zh-CN"/>
        </w:rPr>
        <w:t xml:space="preserve"> </w:t>
      </w:r>
      <w:r w:rsidRPr="00DD7FFC">
        <w:t>ms</w:t>
      </w:r>
      <w:r>
        <w:t xml:space="preserve"> as with unconditional handover</w:t>
      </w:r>
    </w:p>
    <w:p w:rsidR="006B6100" w:rsidRPr="006B6100" w:rsidRDefault="006B6100" w:rsidP="006B6100">
      <w:r>
        <w:t xml:space="preserve">At least for FR1 we can expect that Tsearch=0ms for any conditional handover, since the UE needs to detect and measure the cell then it immediately triggers the handover. However, we keep Tsearch in the equation for now since known cell definition is a topic of active discussion for unconditional handover. It would be necessary to conclude on unconditional handover Tsearch in FR2 before deciding if Tsearch=0 is suitable for conditional FR2 handover execution in the HO interruption requirement. </w:t>
      </w:r>
    </w:p>
    <w:p w:rsidR="006B6666" w:rsidRDefault="006B6666" w:rsidP="006B6666">
      <w:pPr>
        <w:pStyle w:val="Heading1"/>
        <w:jc w:val="both"/>
        <w:rPr>
          <w:rFonts w:eastAsia="SimSun"/>
          <w:lang w:val="en-US" w:eastAsia="zh-CN"/>
        </w:rPr>
      </w:pPr>
      <w:r>
        <w:rPr>
          <w:rFonts w:eastAsia="SimSun"/>
          <w:lang w:val="en-US" w:eastAsia="zh-CN"/>
        </w:rPr>
        <w:t>Conclusions</w:t>
      </w:r>
    </w:p>
    <w:p w:rsidR="006B6666" w:rsidRDefault="006B6666" w:rsidP="006B6666">
      <w:pPr>
        <w:rPr>
          <w:lang w:val="en-US" w:eastAsia="zh-CN"/>
        </w:rPr>
      </w:pPr>
      <w:r>
        <w:rPr>
          <w:lang w:val="en-US" w:eastAsia="zh-CN"/>
        </w:rPr>
        <w:t xml:space="preserve">In this contribution we discuss </w:t>
      </w:r>
      <w:r w:rsidR="00B35AB2">
        <w:rPr>
          <w:lang w:val="en-US" w:eastAsia="zh-CN"/>
        </w:rPr>
        <w:t xml:space="preserve">ran4 </w:t>
      </w:r>
      <w:r w:rsidR="0013609C">
        <w:rPr>
          <w:lang w:val="en-US" w:eastAsia="zh-CN"/>
        </w:rPr>
        <w:t>requirements</w:t>
      </w:r>
      <w:r>
        <w:rPr>
          <w:lang w:val="en-US" w:eastAsia="zh-CN"/>
        </w:rPr>
        <w:t xml:space="preserve"> for NR mobility enhancement. We observe</w:t>
      </w:r>
    </w:p>
    <w:p w:rsidR="00B35AB2" w:rsidRDefault="00B35AB2" w:rsidP="00B35AB2">
      <w:pPr>
        <w:rPr>
          <w:b/>
          <w:lang w:val="en-US" w:eastAsia="zh-CN"/>
        </w:rPr>
      </w:pPr>
      <w:r>
        <w:rPr>
          <w:b/>
          <w:lang w:val="en-US" w:eastAsia="zh-CN"/>
        </w:rPr>
        <w:t>Observation 1: RAN2 will address FR1-FR1 handover with DC-enhancement based solutions</w:t>
      </w:r>
    </w:p>
    <w:p w:rsidR="00B35AB2" w:rsidRDefault="00B35AB2" w:rsidP="00B35AB2">
      <w:pPr>
        <w:rPr>
          <w:b/>
          <w:lang w:val="en-US" w:eastAsia="zh-CN"/>
        </w:rPr>
      </w:pPr>
      <w:r>
        <w:rPr>
          <w:b/>
          <w:lang w:val="en-US" w:eastAsia="zh-CN"/>
        </w:rPr>
        <w:t>Observation 2: Within FR1 it is not decided which use cases will be addressed</w:t>
      </w:r>
    </w:p>
    <w:p w:rsidR="00B35AB2" w:rsidRDefault="00B35AB2" w:rsidP="00B35AB2">
      <w:pPr>
        <w:rPr>
          <w:lang w:val="en-US" w:eastAsia="zh-CN"/>
        </w:rPr>
      </w:pPr>
      <w:r w:rsidRPr="00F25839">
        <w:rPr>
          <w:lang w:val="en-US" w:eastAsia="zh-CN"/>
        </w:rPr>
        <w:t xml:space="preserve">From  </w:t>
      </w:r>
      <w:r>
        <w:rPr>
          <w:lang w:val="en-US" w:eastAsia="zh-CN"/>
        </w:rPr>
        <w:t>RAN4 perspective, the main aspect to address is the HO interruption requirements. Since the use cases are still to be decided, we make the following initial proposals</w:t>
      </w:r>
    </w:p>
    <w:p w:rsidR="00B35AB2" w:rsidRPr="002F2D7B" w:rsidRDefault="00B35AB2" w:rsidP="00B35AB2">
      <w:pPr>
        <w:rPr>
          <w:b/>
        </w:rPr>
      </w:pPr>
      <w:r w:rsidRPr="002F2D7B">
        <w:rPr>
          <w:b/>
        </w:rPr>
        <w:t xml:space="preserve">Preliminary proposal </w:t>
      </w:r>
      <w:r>
        <w:rPr>
          <w:b/>
        </w:rPr>
        <w:t>1</w:t>
      </w:r>
      <w:r w:rsidRPr="002F2D7B">
        <w:rPr>
          <w:b/>
        </w:rPr>
        <w:t xml:space="preserve"> : 0ms interruption applies for an intrafrequency handover where the target cell has the same or smaller BW than the source cell</w:t>
      </w:r>
    </w:p>
    <w:p w:rsidR="00B35AB2" w:rsidRDefault="00B35AB2" w:rsidP="00B35AB2">
      <w:pPr>
        <w:rPr>
          <w:b/>
        </w:rPr>
      </w:pPr>
      <w:r w:rsidRPr="002F2D7B">
        <w:rPr>
          <w:b/>
        </w:rPr>
        <w:t xml:space="preserve">Preliminary proposal </w:t>
      </w:r>
      <w:r>
        <w:rPr>
          <w:b/>
        </w:rPr>
        <w:t>2</w:t>
      </w:r>
      <w:r w:rsidRPr="002F2D7B">
        <w:rPr>
          <w:b/>
        </w:rPr>
        <w:t xml:space="preserve">: </w:t>
      </w:r>
      <w:r>
        <w:rPr>
          <w:b/>
        </w:rPr>
        <w:t>Interruption for synchronous intraband handover where the target cell has larger bandwidth than the source cell can be based on intraband CA interruption requirements.</w:t>
      </w:r>
      <w:r w:rsidRPr="004651CD">
        <w:rPr>
          <w:b/>
        </w:rPr>
        <w:t xml:space="preserve"> </w:t>
      </w:r>
      <w:r>
        <w:rPr>
          <w:b/>
        </w:rPr>
        <w:t>F</w:t>
      </w:r>
      <w:r w:rsidRPr="00DD66F3">
        <w:rPr>
          <w:b/>
        </w:rPr>
        <w:t xml:space="preserve">or the async case one additional </w:t>
      </w:r>
      <w:r>
        <w:rPr>
          <w:b/>
        </w:rPr>
        <w:t>slot</w:t>
      </w:r>
      <w:r w:rsidRPr="00DD66F3">
        <w:rPr>
          <w:b/>
        </w:rPr>
        <w:t xml:space="preserve"> can be applied on either the source cell or the target cell</w:t>
      </w:r>
    </w:p>
    <w:p w:rsidR="00B35AB2" w:rsidRDefault="00B35AB2" w:rsidP="00B35AB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B35AB2" w:rsidTr="009C5B9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35AB2" w:rsidRDefault="00F10440" w:rsidP="009C5B99">
            <w:pPr>
              <w:keepNext/>
              <w:keepLines/>
              <w:spacing w:after="0"/>
              <w:jc w:val="center"/>
            </w:pPr>
            <w:r>
              <w:rPr>
                <w:rFonts w:ascii="Arial" w:hAnsi="Arial"/>
                <w:b/>
                <w:noProof/>
                <w:sz w:val="18"/>
                <w:lang w:val="en-US" w:eastAsia="zh-CN"/>
              </w:rPr>
              <w:lastRenderedPageBreak/>
              <w:pict>
                <v:shape id="_x0000_i1027" type="#_x0000_t75" style="width:10.5pt;height:12.75pt;visibility:visible;mso-wrap-style:square">
                  <v:imagedata r:id="rId13" o:title=""/>
                </v:shape>
              </w:pict>
            </w:r>
          </w:p>
        </w:tc>
        <w:tc>
          <w:tcPr>
            <w:tcW w:w="992" w:type="dxa"/>
            <w:tcBorders>
              <w:top w:val="single" w:sz="4" w:space="0" w:color="auto"/>
              <w:left w:val="single" w:sz="4" w:space="0" w:color="auto"/>
              <w:bottom w:val="single" w:sz="4" w:space="0" w:color="auto"/>
              <w:right w:val="single" w:sz="4" w:space="0" w:color="auto"/>
            </w:tcBorders>
            <w:hideMark/>
          </w:tcPr>
          <w:p w:rsidR="00B35AB2" w:rsidRDefault="00B35AB2" w:rsidP="009C5B99">
            <w:pPr>
              <w:keepNext/>
              <w:keepLines/>
              <w:spacing w:after="0"/>
              <w:jc w:val="center"/>
            </w:pPr>
            <w:r>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B35AB2" w:rsidRDefault="00B35AB2" w:rsidP="009C5B99">
            <w:pPr>
              <w:keepNext/>
              <w:keepLines/>
              <w:spacing w:after="0"/>
              <w:jc w:val="center"/>
            </w:pPr>
            <w:r>
              <w:rPr>
                <w:rFonts w:ascii="Arial" w:hAnsi="Arial"/>
                <w:b/>
                <w:sz w:val="18"/>
              </w:rPr>
              <w:t>Interruption length (slot)</w:t>
            </w:r>
          </w:p>
        </w:tc>
      </w:tr>
      <w:tr w:rsidR="00B35AB2" w:rsidTr="009C5B99">
        <w:trPr>
          <w:jc w:val="center"/>
        </w:trPr>
        <w:tc>
          <w:tcPr>
            <w:tcW w:w="649"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1</w:t>
            </w:r>
          </w:p>
        </w:tc>
        <w:tc>
          <w:tcPr>
            <w:tcW w:w="2890"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p>
        </w:tc>
      </w:tr>
      <w:tr w:rsidR="00B35AB2" w:rsidTr="009C5B99">
        <w:trPr>
          <w:jc w:val="center"/>
        </w:trPr>
        <w:tc>
          <w:tcPr>
            <w:tcW w:w="649"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0.5</w:t>
            </w:r>
          </w:p>
        </w:tc>
        <w:tc>
          <w:tcPr>
            <w:tcW w:w="2890"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p>
        </w:tc>
      </w:tr>
      <w:tr w:rsidR="00B35AB2" w:rsidTr="009C5B9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B35AB2" w:rsidRDefault="00B35AB2" w:rsidP="009C5B99">
            <w:pPr>
              <w:pStyle w:val="TAN"/>
              <w:rPr>
                <w:lang w:eastAsia="zh-CN"/>
              </w:rPr>
            </w:pPr>
            <w:r>
              <w:t xml:space="preserve">Note: </w:t>
            </w:r>
            <w:r>
              <w:tab/>
            </w:r>
            <w:r>
              <w:rPr>
                <w:lang w:eastAsia="zh-CN"/>
              </w:rPr>
              <w:t>T</w:t>
            </w:r>
            <w:r>
              <w:rPr>
                <w:vertAlign w:val="subscript"/>
                <w:lang w:eastAsia="zh-CN"/>
              </w:rPr>
              <w:t>SMTC_duration</w:t>
            </w:r>
            <w:r>
              <w:rPr>
                <w:lang w:eastAsia="zh-CN"/>
              </w:rPr>
              <w:t xml:space="preserve"> is</w:t>
            </w:r>
          </w:p>
          <w:p w:rsidR="00B35AB2" w:rsidRDefault="00B35AB2" w:rsidP="009C5B99">
            <w:pPr>
              <w:pStyle w:val="TAN"/>
            </w:pPr>
            <w:r>
              <w:tab/>
              <w:t xml:space="preserve">- the longest SMTC duration </w:t>
            </w:r>
            <w:r>
              <w:rPr>
                <w:lang w:eastAsia="zh-CN"/>
              </w:rPr>
              <w:t>among the source and target cell</w:t>
            </w:r>
            <w:r>
              <w:t xml:space="preserve">  </w:t>
            </w:r>
          </w:p>
        </w:tc>
      </w:tr>
    </w:tbl>
    <w:p w:rsidR="00B35AB2" w:rsidRPr="004651CD" w:rsidRDefault="00B35AB2" w:rsidP="00B35AB2">
      <w:pPr>
        <w:ind w:firstLine="132"/>
        <w:jc w:val="center"/>
        <w:rPr>
          <w:b/>
        </w:rPr>
      </w:pPr>
      <w:r w:rsidRPr="004651CD">
        <w:rPr>
          <w:b/>
        </w:rPr>
        <w:t>Table 1 : Interruption durations for preliminary proposal 2</w:t>
      </w:r>
    </w:p>
    <w:p w:rsidR="00B35AB2" w:rsidRDefault="00B35AB2" w:rsidP="00B35AB2">
      <w:pPr>
        <w:rPr>
          <w:b/>
        </w:rPr>
      </w:pPr>
      <w:r w:rsidRPr="002F2D7B">
        <w:rPr>
          <w:b/>
        </w:rPr>
        <w:t xml:space="preserve">Preliminary proposal </w:t>
      </w:r>
      <w:r>
        <w:rPr>
          <w:b/>
        </w:rPr>
        <w:t>3</w:t>
      </w:r>
      <w:r w:rsidRPr="002F2D7B">
        <w:rPr>
          <w:b/>
        </w:rPr>
        <w:t xml:space="preserve"> : </w:t>
      </w:r>
      <w:r>
        <w:rPr>
          <w:b/>
        </w:rPr>
        <w:t>1</w:t>
      </w:r>
      <w:r w:rsidRPr="002F2D7B">
        <w:rPr>
          <w:b/>
        </w:rPr>
        <w:t>ms interruption applies for an int</w:t>
      </w:r>
      <w:r>
        <w:rPr>
          <w:b/>
        </w:rPr>
        <w:t>erband</w:t>
      </w:r>
      <w:r w:rsidRPr="002F2D7B">
        <w:rPr>
          <w:b/>
        </w:rPr>
        <w:t xml:space="preserve"> </w:t>
      </w:r>
      <w:r>
        <w:rPr>
          <w:b/>
        </w:rPr>
        <w:t xml:space="preserve">synchronous </w:t>
      </w:r>
      <w:r w:rsidRPr="002F2D7B">
        <w:rPr>
          <w:b/>
        </w:rPr>
        <w:t>handover</w:t>
      </w:r>
      <w:r>
        <w:rPr>
          <w:b/>
        </w:rPr>
        <w:t>. F</w:t>
      </w:r>
      <w:r w:rsidRPr="00DD66F3">
        <w:rPr>
          <w:b/>
        </w:rPr>
        <w:t>or the async case one additional subframe can be applied on either the source cell or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B35AB2" w:rsidTr="009C5B9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35AB2" w:rsidRDefault="00F10440" w:rsidP="009C5B99">
            <w:pPr>
              <w:keepNext/>
              <w:keepLines/>
              <w:spacing w:after="0"/>
              <w:jc w:val="center"/>
            </w:pPr>
            <w:r>
              <w:rPr>
                <w:rFonts w:ascii="Arial" w:hAnsi="Arial"/>
                <w:b/>
                <w:noProof/>
                <w:sz w:val="18"/>
                <w:lang w:val="en-US" w:eastAsia="zh-CN"/>
              </w:rPr>
              <w:pict>
                <v:shape id="_x0000_i1028" type="#_x0000_t75" style="width:10.5pt;height:12.75pt;visibility:visible;mso-wrap-style:square">
                  <v:imagedata r:id="rId13" o:title=""/>
                </v:shape>
              </w:pict>
            </w:r>
          </w:p>
        </w:tc>
        <w:tc>
          <w:tcPr>
            <w:tcW w:w="1361" w:type="dxa"/>
            <w:tcBorders>
              <w:top w:val="single" w:sz="4" w:space="0" w:color="auto"/>
              <w:left w:val="single" w:sz="4" w:space="0" w:color="auto"/>
              <w:bottom w:val="single" w:sz="4" w:space="0" w:color="auto"/>
              <w:right w:val="single" w:sz="4" w:space="0" w:color="auto"/>
            </w:tcBorders>
            <w:hideMark/>
          </w:tcPr>
          <w:p w:rsidR="00B35AB2" w:rsidRDefault="00B35AB2" w:rsidP="009C5B99">
            <w:pPr>
              <w:keepNext/>
              <w:keepLines/>
              <w:spacing w:after="0"/>
              <w:jc w:val="center"/>
            </w:pPr>
            <w:r>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B35AB2" w:rsidRDefault="00B35AB2" w:rsidP="009C5B99">
            <w:pPr>
              <w:keepNext/>
              <w:keepLines/>
              <w:spacing w:after="0"/>
              <w:jc w:val="center"/>
            </w:pPr>
            <w:r>
              <w:rPr>
                <w:rFonts w:ascii="Arial" w:hAnsi="Arial"/>
                <w:b/>
                <w:sz w:val="18"/>
              </w:rPr>
              <w:t>Interruption length (slot)</w:t>
            </w:r>
          </w:p>
        </w:tc>
      </w:tr>
      <w:tr w:rsidR="00B35AB2" w:rsidTr="009C5B99">
        <w:trPr>
          <w:jc w:val="center"/>
        </w:trPr>
        <w:tc>
          <w:tcPr>
            <w:tcW w:w="649"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0</w:t>
            </w:r>
          </w:p>
        </w:tc>
        <w:tc>
          <w:tcPr>
            <w:tcW w:w="1361"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1</w:t>
            </w:r>
          </w:p>
        </w:tc>
        <w:tc>
          <w:tcPr>
            <w:tcW w:w="2521" w:type="dxa"/>
            <w:tcBorders>
              <w:top w:val="single" w:sz="4" w:space="0" w:color="auto"/>
              <w:left w:val="single" w:sz="4" w:space="0" w:color="auto"/>
              <w:bottom w:val="single" w:sz="4" w:space="0" w:color="auto"/>
              <w:right w:val="single" w:sz="4" w:space="0" w:color="auto"/>
            </w:tcBorders>
          </w:tcPr>
          <w:p w:rsidR="00B35AB2" w:rsidRDefault="00B35AB2" w:rsidP="009C5B99">
            <w:pPr>
              <w:pStyle w:val="TAC"/>
              <w:rPr>
                <w:rFonts w:cs="Arial"/>
                <w:szCs w:val="18"/>
              </w:rPr>
            </w:pPr>
          </w:p>
        </w:tc>
        <w:tc>
          <w:tcPr>
            <w:tcW w:w="2890"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rPr>
                <w:rFonts w:cs="Arial"/>
                <w:szCs w:val="18"/>
              </w:rPr>
            </w:pPr>
            <w:r>
              <w:rPr>
                <w:rFonts w:cs="Arial"/>
                <w:szCs w:val="18"/>
              </w:rPr>
              <w:t xml:space="preserve">1 </w:t>
            </w:r>
          </w:p>
        </w:tc>
      </w:tr>
      <w:tr w:rsidR="00B35AB2" w:rsidTr="009C5B99">
        <w:trPr>
          <w:jc w:val="center"/>
        </w:trPr>
        <w:tc>
          <w:tcPr>
            <w:tcW w:w="649"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1</w:t>
            </w:r>
          </w:p>
        </w:tc>
        <w:tc>
          <w:tcPr>
            <w:tcW w:w="1361"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pPr>
            <w:r>
              <w:t>0.5</w:t>
            </w:r>
          </w:p>
        </w:tc>
        <w:tc>
          <w:tcPr>
            <w:tcW w:w="2521" w:type="dxa"/>
            <w:tcBorders>
              <w:top w:val="single" w:sz="4" w:space="0" w:color="auto"/>
              <w:left w:val="single" w:sz="4" w:space="0" w:color="auto"/>
              <w:bottom w:val="single" w:sz="4" w:space="0" w:color="auto"/>
              <w:right w:val="single" w:sz="4" w:space="0" w:color="auto"/>
            </w:tcBorders>
          </w:tcPr>
          <w:p w:rsidR="00B35AB2" w:rsidRDefault="00B35AB2" w:rsidP="009C5B99">
            <w:pPr>
              <w:pStyle w:val="TAC"/>
              <w:rPr>
                <w:rFonts w:cs="Arial"/>
                <w:szCs w:val="18"/>
              </w:rPr>
            </w:pPr>
          </w:p>
        </w:tc>
        <w:tc>
          <w:tcPr>
            <w:tcW w:w="2890" w:type="dxa"/>
            <w:tcBorders>
              <w:top w:val="single" w:sz="4" w:space="0" w:color="auto"/>
              <w:left w:val="single" w:sz="4" w:space="0" w:color="auto"/>
              <w:bottom w:val="single" w:sz="4" w:space="0" w:color="auto"/>
              <w:right w:val="single" w:sz="4" w:space="0" w:color="auto"/>
            </w:tcBorders>
            <w:hideMark/>
          </w:tcPr>
          <w:p w:rsidR="00B35AB2" w:rsidRDefault="00B35AB2" w:rsidP="009C5B99">
            <w:pPr>
              <w:pStyle w:val="TAC"/>
              <w:rPr>
                <w:rFonts w:cs="Arial"/>
                <w:szCs w:val="18"/>
              </w:rPr>
            </w:pPr>
            <w:r>
              <w:rPr>
                <w:rFonts w:cs="Arial"/>
                <w:szCs w:val="18"/>
              </w:rPr>
              <w:t xml:space="preserve">1 </w:t>
            </w:r>
          </w:p>
        </w:tc>
      </w:tr>
    </w:tbl>
    <w:p w:rsidR="00B35AB2" w:rsidRPr="004651CD" w:rsidRDefault="00B35AB2" w:rsidP="00B35AB2">
      <w:pPr>
        <w:ind w:firstLine="132"/>
        <w:jc w:val="center"/>
        <w:rPr>
          <w:b/>
        </w:rPr>
      </w:pPr>
      <w:r w:rsidRPr="004651CD">
        <w:rPr>
          <w:b/>
        </w:rPr>
        <w:t xml:space="preserve">Table </w:t>
      </w:r>
      <w:r>
        <w:rPr>
          <w:b/>
        </w:rPr>
        <w:t>2</w:t>
      </w:r>
      <w:r w:rsidRPr="004651CD">
        <w:rPr>
          <w:b/>
        </w:rPr>
        <w:t xml:space="preserve"> : Interruption durations for preliminary proposal 2</w:t>
      </w:r>
    </w:p>
    <w:p w:rsidR="00B35AB2" w:rsidRDefault="0013609C" w:rsidP="00B35AB2">
      <w:pPr>
        <w:rPr>
          <w:b/>
        </w:rPr>
      </w:pPr>
      <w:r>
        <w:rPr>
          <w:b/>
        </w:rPr>
        <w:t>Proposal</w:t>
      </w:r>
      <w:r w:rsidR="00B35AB2">
        <w:rPr>
          <w:b/>
        </w:rPr>
        <w:t xml:space="preserve"> 7: Handover requirements for CHO are defined as</w:t>
      </w:r>
    </w:p>
    <w:p w:rsidR="00B35AB2" w:rsidRDefault="00B35AB2" w:rsidP="00B35AB2">
      <w:pPr>
        <w:rPr>
          <w:b/>
        </w:rPr>
      </w:pPr>
      <w:r>
        <w:rPr>
          <w:b/>
        </w:rPr>
        <w:t>The handover delay is the time from which a conditional handover condition is satisfied until the time when the UE starts to transmit RACH to the target cell</w:t>
      </w:r>
    </w:p>
    <w:p w:rsidR="00B35AB2" w:rsidRDefault="00B35AB2" w:rsidP="00B35AB2">
      <w:pPr>
        <w:jc w:val="center"/>
        <w:rPr>
          <w:b/>
          <w:vertAlign w:val="subscript"/>
        </w:rPr>
      </w:pPr>
      <w:r w:rsidRPr="00B83CD0">
        <w:rPr>
          <w:b/>
        </w:rPr>
        <w:t>D</w:t>
      </w:r>
      <w:r w:rsidRPr="00B83CD0">
        <w:rPr>
          <w:b/>
          <w:vertAlign w:val="subscript"/>
        </w:rPr>
        <w:t>handover</w:t>
      </w:r>
      <w:r w:rsidRPr="00B83CD0">
        <w:rPr>
          <w:b/>
        </w:rPr>
        <w:t xml:space="preserve">= </w:t>
      </w:r>
      <w:r>
        <w:rPr>
          <w:b/>
        </w:rPr>
        <w:t>T</w:t>
      </w:r>
      <w:r w:rsidRPr="00B83CD0">
        <w:rPr>
          <w:b/>
          <w:vertAlign w:val="subscript"/>
        </w:rPr>
        <w:t>config</w:t>
      </w:r>
      <w:r>
        <w:rPr>
          <w:b/>
        </w:rPr>
        <w:t xml:space="preserve"> +</w:t>
      </w:r>
      <w:r w:rsidRPr="00B83CD0">
        <w:rPr>
          <w:b/>
        </w:rPr>
        <w:t xml:space="preserve"> T</w:t>
      </w:r>
      <w:r>
        <w:rPr>
          <w:b/>
          <w:vertAlign w:val="subscript"/>
        </w:rPr>
        <w:t>cond_eval</w:t>
      </w:r>
      <w:r w:rsidRPr="00B83CD0">
        <w:rPr>
          <w:b/>
        </w:rPr>
        <w:t>+T</w:t>
      </w:r>
      <w:r w:rsidRPr="00B83CD0">
        <w:rPr>
          <w:b/>
          <w:vertAlign w:val="subscript"/>
        </w:rPr>
        <w:t>interrupt</w:t>
      </w:r>
    </w:p>
    <w:p w:rsidR="00B35AB2" w:rsidRPr="00B83CD0" w:rsidRDefault="00B35AB2" w:rsidP="00B35AB2">
      <w:pPr>
        <w:jc w:val="center"/>
        <w:rPr>
          <w:b/>
          <w:vertAlign w:val="subscript"/>
        </w:rPr>
      </w:pPr>
    </w:p>
    <w:p w:rsidR="00B35AB2" w:rsidRDefault="00B35AB2" w:rsidP="00B35AB2">
      <w:pPr>
        <w:rPr>
          <w:b/>
        </w:rPr>
      </w:pPr>
      <w:r>
        <w:rPr>
          <w:b/>
        </w:rPr>
        <w:t>T</w:t>
      </w:r>
      <w:r w:rsidRPr="00B83CD0">
        <w:rPr>
          <w:b/>
          <w:vertAlign w:val="subscript"/>
        </w:rPr>
        <w:t>config</w:t>
      </w:r>
      <w:r>
        <w:rPr>
          <w:b/>
        </w:rPr>
        <w:t xml:space="preserve"> is 0ms if the time from when the RRC command to configure conditional handover until the time when the conditional handover condition is satisfied &gt; RRC procedure delay, otherwise T</w:t>
      </w:r>
      <w:r w:rsidRPr="00B83CD0">
        <w:rPr>
          <w:b/>
          <w:vertAlign w:val="subscript"/>
        </w:rPr>
        <w:t>config</w:t>
      </w:r>
      <w:r w:rsidRPr="00B83CD0">
        <w:rPr>
          <w:b/>
        </w:rPr>
        <w:t xml:space="preserve"> = </w:t>
      </w:r>
      <w:r>
        <w:rPr>
          <w:b/>
        </w:rPr>
        <w:t>RRC procedure delay-</w:t>
      </w:r>
      <w:r w:rsidRPr="00B83CD0">
        <w:rPr>
          <w:b/>
        </w:rPr>
        <w:t xml:space="preserve"> </w:t>
      </w:r>
      <w:r>
        <w:rPr>
          <w:b/>
        </w:rPr>
        <w:t>(time from when the RRC command to configure conditional handover until the time when the conditional handover condition is satisfied)</w:t>
      </w:r>
    </w:p>
    <w:p w:rsidR="00B35AB2" w:rsidRDefault="00B35AB2" w:rsidP="00B35AB2">
      <w:pPr>
        <w:rPr>
          <w:b/>
        </w:rPr>
      </w:pPr>
      <w:r>
        <w:rPr>
          <w:b/>
        </w:rPr>
        <w:t>T</w:t>
      </w:r>
      <w:r w:rsidRPr="00B83CD0">
        <w:rPr>
          <w:b/>
          <w:vertAlign w:val="subscript"/>
        </w:rPr>
        <w:t>cond_eval</w:t>
      </w:r>
      <w:r>
        <w:rPr>
          <w:b/>
        </w:rPr>
        <w:t xml:space="preserve"> is the  L1 measurement period if the target cell has been detected by the UE prior to the handover condition being satisfied, or T</w:t>
      </w:r>
      <w:r w:rsidRPr="00B83CD0">
        <w:rPr>
          <w:b/>
          <w:vertAlign w:val="subscript"/>
        </w:rPr>
        <w:t>identify</w:t>
      </w:r>
      <w:r>
        <w:rPr>
          <w:b/>
        </w:rPr>
        <w:t xml:space="preserve"> if the handover condition is already  satisfied when the cell is first detected by the UE</w:t>
      </w:r>
    </w:p>
    <w:p w:rsidR="00B35AB2" w:rsidRDefault="00B35AB2" w:rsidP="00B35AB2">
      <w:pPr>
        <w:pStyle w:val="EQ"/>
      </w:pPr>
      <w:r w:rsidRPr="00B83CD0">
        <w:rPr>
          <w:b/>
        </w:rPr>
        <w:t>T</w:t>
      </w:r>
      <w:r w:rsidRPr="00B83CD0">
        <w:rPr>
          <w:b/>
          <w:vertAlign w:val="subscript"/>
        </w:rPr>
        <w:t>interrupt</w:t>
      </w:r>
      <w:r w:rsidRPr="00B83CD0">
        <w:rPr>
          <w:b/>
        </w:rPr>
        <w:t xml:space="preserve">= </w:t>
      </w:r>
      <w:r w:rsidRPr="00DD7FFC">
        <w:t>T</w:t>
      </w:r>
      <w:r w:rsidRPr="00DD7FFC">
        <w:rPr>
          <w:vertAlign w:val="subscript"/>
        </w:rPr>
        <w:t>search</w:t>
      </w:r>
      <w:r w:rsidRPr="00DD7FFC">
        <w:t xml:space="preserve"> + T</w:t>
      </w:r>
      <w:r w:rsidRPr="00DD7FFC">
        <w:rPr>
          <w:vertAlign w:val="subscript"/>
        </w:rPr>
        <w:t>IU</w:t>
      </w:r>
      <w:r w:rsidRPr="00DD7FFC">
        <w:t xml:space="preserve"> + </w:t>
      </w:r>
      <w:r w:rsidRPr="00DD7FFC">
        <w:rPr>
          <w:lang w:eastAsia="zh-CN"/>
        </w:rPr>
        <w:t>T</w:t>
      </w:r>
      <w:r w:rsidRPr="00DD7FFC">
        <w:rPr>
          <w:vertAlign w:val="subscript"/>
          <w:lang w:eastAsia="zh-CN"/>
        </w:rPr>
        <w:t>processing</w:t>
      </w:r>
      <w:r w:rsidRPr="00DD7FFC">
        <w:rPr>
          <w:lang w:eastAsia="zh-CN"/>
        </w:rPr>
        <w:t>+ T</w:t>
      </w:r>
      <w:r w:rsidRPr="00DD7FFC">
        <w:rPr>
          <w:vertAlign w:val="subscript"/>
          <w:lang w:eastAsia="zh-CN"/>
        </w:rPr>
        <w:t>∆</w:t>
      </w:r>
      <w:r w:rsidRPr="00DD7FFC">
        <w:rPr>
          <w:lang w:eastAsia="zh-CN"/>
        </w:rPr>
        <w:t xml:space="preserve"> </w:t>
      </w:r>
      <w:r w:rsidRPr="00DD7FFC">
        <w:t>ms</w:t>
      </w:r>
      <w:r>
        <w:t xml:space="preserve"> as with unconditional handover</w:t>
      </w:r>
    </w:p>
    <w:p w:rsidR="00367330" w:rsidRPr="00367330" w:rsidRDefault="00367330" w:rsidP="00367330">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5F15AB" w:rsidRDefault="008505EC" w:rsidP="004B11A3">
      <w:pPr>
        <w:pStyle w:val="3GPPNormalText"/>
        <w:numPr>
          <w:ilvl w:val="0"/>
          <w:numId w:val="5"/>
        </w:numPr>
        <w:rPr>
          <w:szCs w:val="20"/>
          <w:lang w:eastAsia="zh-CN"/>
        </w:rPr>
      </w:pPr>
      <w:r w:rsidRPr="008505EC">
        <w:rPr>
          <w:szCs w:val="20"/>
          <w:lang w:eastAsia="zh-CN"/>
        </w:rPr>
        <w:t>R4-166817, “Reply LS on the feasibility of mobility enhancement solutions</w:t>
      </w:r>
      <w:r>
        <w:rPr>
          <w:szCs w:val="20"/>
          <w:lang w:eastAsia="zh-CN"/>
        </w:rPr>
        <w:t>”, RAN WG4</w:t>
      </w:r>
    </w:p>
    <w:p w:rsidR="0084532A" w:rsidRPr="000208BE" w:rsidRDefault="0084532A" w:rsidP="004B11A3">
      <w:pPr>
        <w:pStyle w:val="3GPPNormalText"/>
        <w:numPr>
          <w:ilvl w:val="0"/>
          <w:numId w:val="5"/>
        </w:numPr>
        <w:rPr>
          <w:szCs w:val="20"/>
          <w:lang w:eastAsia="zh-CN"/>
        </w:rPr>
      </w:pPr>
      <w:bookmarkStart w:id="1" w:name="_Ref6907262"/>
      <w:r>
        <w:rPr>
          <w:rFonts w:ascii="Arial" w:hAnsi="Arial"/>
          <w:color w:val="000000"/>
          <w:sz w:val="18"/>
          <w:szCs w:val="18"/>
        </w:rPr>
        <w:t>R4-16</w:t>
      </w:r>
      <w:r w:rsidR="008505EC">
        <w:rPr>
          <w:rFonts w:ascii="Arial" w:hAnsi="Arial"/>
          <w:color w:val="000000"/>
          <w:sz w:val="18"/>
          <w:szCs w:val="18"/>
        </w:rPr>
        <w:t>5124, “</w:t>
      </w:r>
      <w:r>
        <w:rPr>
          <w:rFonts w:ascii="Arial" w:hAnsi="Arial"/>
          <w:color w:val="000000"/>
          <w:sz w:val="18"/>
          <w:szCs w:val="18"/>
        </w:rPr>
        <w:t>Considerations related to RAN2 questions on mobility enhancements and RACHless handover</w:t>
      </w:r>
      <w:r w:rsidR="008505EC">
        <w:rPr>
          <w:rFonts w:ascii="Arial" w:hAnsi="Arial"/>
          <w:color w:val="000000"/>
          <w:sz w:val="18"/>
          <w:szCs w:val="18"/>
        </w:rPr>
        <w:t>”, Ericsson</w:t>
      </w:r>
      <w:bookmarkEnd w:id="1"/>
    </w:p>
    <w:p w:rsidR="000208BE" w:rsidRPr="00C904B5" w:rsidRDefault="000208BE" w:rsidP="004B11A3">
      <w:pPr>
        <w:pStyle w:val="3GPPNormalText"/>
        <w:numPr>
          <w:ilvl w:val="0"/>
          <w:numId w:val="5"/>
        </w:numPr>
        <w:rPr>
          <w:szCs w:val="20"/>
          <w:lang w:eastAsia="zh-CN"/>
        </w:rPr>
      </w:pPr>
      <w:r>
        <w:rPr>
          <w:szCs w:val="20"/>
          <w:lang w:eastAsia="zh-CN"/>
        </w:rPr>
        <w:t>R4-1904850, “</w:t>
      </w:r>
      <w:r>
        <w:rPr>
          <w:noProof/>
        </w:rPr>
        <w:t xml:space="preserve">Section 7.1: </w:t>
      </w:r>
      <w:r w:rsidRPr="00F17342">
        <w:rPr>
          <w:noProof/>
        </w:rPr>
        <w:t>UE Transmit Timing Requirements under Beam Switch</w:t>
      </w:r>
      <w:r>
        <w:rPr>
          <w:noProof/>
        </w:rPr>
        <w:t xml:space="preserve">”, </w:t>
      </w:r>
      <w:r w:rsidRPr="000208BE">
        <w:rPr>
          <w:noProof/>
        </w:rPr>
        <w:t>Ericsson, Mediatek, Qualcomm, Intel, Nokia, Nokia Shanghai Bell</w:t>
      </w:r>
    </w:p>
    <w:sectPr w:rsidR="000208BE" w:rsidRPr="00C904B5"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440" w:rsidRDefault="00F10440">
      <w:r>
        <w:separator/>
      </w:r>
    </w:p>
  </w:endnote>
  <w:endnote w:type="continuationSeparator" w:id="0">
    <w:p w:rsidR="00F10440" w:rsidRDefault="00F1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440" w:rsidRDefault="00F10440">
      <w:r>
        <w:separator/>
      </w:r>
    </w:p>
  </w:footnote>
  <w:footnote w:type="continuationSeparator" w:id="0">
    <w:p w:rsidR="00F10440" w:rsidRDefault="00F10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7E1462"/>
    <w:multiLevelType w:val="hybridMultilevel"/>
    <w:tmpl w:val="57A27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9"/>
  </w:num>
  <w:num w:numId="2">
    <w:abstractNumId w:val="32"/>
  </w:num>
  <w:num w:numId="3">
    <w:abstractNumId w:val="37"/>
  </w:num>
  <w:num w:numId="4">
    <w:abstractNumId w:val="11"/>
  </w:num>
  <w:num w:numId="5">
    <w:abstractNumId w:val="15"/>
  </w:num>
  <w:num w:numId="6">
    <w:abstractNumId w:val="4"/>
  </w:num>
  <w:num w:numId="7">
    <w:abstractNumId w:val="9"/>
  </w:num>
  <w:num w:numId="8">
    <w:abstractNumId w:val="31"/>
  </w:num>
  <w:num w:numId="9">
    <w:abstractNumId w:val="24"/>
  </w:num>
  <w:num w:numId="10">
    <w:abstractNumId w:val="2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
  </w:num>
  <w:num w:numId="14">
    <w:abstractNumId w:val="26"/>
  </w:num>
  <w:num w:numId="15">
    <w:abstractNumId w:val="5"/>
  </w:num>
  <w:num w:numId="16">
    <w:abstractNumId w:val="2"/>
  </w:num>
  <w:num w:numId="17">
    <w:abstractNumId w:val="20"/>
  </w:num>
  <w:num w:numId="18">
    <w:abstractNumId w:val="17"/>
  </w:num>
  <w:num w:numId="19">
    <w:abstractNumId w:val="3"/>
  </w:num>
  <w:num w:numId="20">
    <w:abstractNumId w:val="13"/>
  </w:num>
  <w:num w:numId="21">
    <w:abstractNumId w:val="14"/>
  </w:num>
  <w:num w:numId="22">
    <w:abstractNumId w:val="10"/>
  </w:num>
  <w:num w:numId="23">
    <w:abstractNumId w:val="38"/>
  </w:num>
  <w:num w:numId="24">
    <w:abstractNumId w:val="36"/>
  </w:num>
  <w:num w:numId="25">
    <w:abstractNumId w:val="30"/>
  </w:num>
  <w:num w:numId="26">
    <w:abstractNumId w:val="7"/>
  </w:num>
  <w:num w:numId="27">
    <w:abstractNumId w:val="34"/>
  </w:num>
  <w:num w:numId="28">
    <w:abstractNumId w:val="33"/>
  </w:num>
  <w:num w:numId="29">
    <w:abstractNumId w:val="18"/>
  </w:num>
  <w:num w:numId="30">
    <w:abstractNumId w:val="16"/>
  </w:num>
  <w:num w:numId="31">
    <w:abstractNumId w:val="27"/>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5"/>
  </w:num>
  <w:num w:numId="34">
    <w:abstractNumId w:val="8"/>
  </w:num>
  <w:num w:numId="35">
    <w:abstractNumId w:val="21"/>
  </w:num>
  <w:num w:numId="36">
    <w:abstractNumId w:val="12"/>
  </w:num>
  <w:num w:numId="37">
    <w:abstractNumId w:val="29"/>
  </w:num>
  <w:num w:numId="38">
    <w:abstractNumId w:val="25"/>
  </w:num>
  <w:num w:numId="39">
    <w:abstractNumId w:val="28"/>
  </w:num>
  <w:num w:numId="4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09C"/>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682E"/>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1CD"/>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28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0EEA"/>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63B"/>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100"/>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266"/>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B7DC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B00"/>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AB2"/>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3A91"/>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40"/>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83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323D4"/>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51CD"/>
    <w:pPr>
      <w:spacing w:after="180"/>
    </w:pPr>
    <w:rPr>
      <w:rFonts w:ascii="Times New Roman" w:eastAsia="SimSu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6B6100"/>
    <w:rPr>
      <w:rFonts w:ascii="Times New Roman" w:eastAsia="SimSu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3127">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049206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34FE75E-A9A0-44E7-9EEC-C08DFA44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2019-05-03T11:03:00Z</dcterms:created>
  <dcterms:modified xsi:type="dcterms:W3CDTF">2019-05-03T15:29:00Z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